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Ind w:w="93" w:type="dxa"/>
        <w:tblLook w:val="04A0"/>
      </w:tblPr>
      <w:tblGrid>
        <w:gridCol w:w="3657"/>
        <w:gridCol w:w="1010"/>
        <w:gridCol w:w="731"/>
        <w:gridCol w:w="835"/>
        <w:gridCol w:w="711"/>
        <w:gridCol w:w="856"/>
        <w:gridCol w:w="711"/>
        <w:gridCol w:w="793"/>
        <w:gridCol w:w="605"/>
      </w:tblGrid>
      <w:tr w:rsidR="00025029" w:rsidRPr="00025029" w:rsidTr="00025029">
        <w:trPr>
          <w:trHeight w:val="870"/>
        </w:trPr>
        <w:tc>
          <w:tcPr>
            <w:tcW w:w="9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29">
              <w:rPr>
                <w:rFonts w:ascii="Times New Roman" w:eastAsia="Times New Roman" w:hAnsi="Times New Roman" w:cs="Times New Roman"/>
                <w:sz w:val="20"/>
                <w:szCs w:val="20"/>
              </w:rPr>
              <w:t>В составе иных вопросов местного значения поселений учитываются расходы по решению вопросов местного значение поселений, исполнение которых передается органам местного самоуправления муниципального района.</w:t>
            </w:r>
          </w:p>
        </w:tc>
      </w:tr>
      <w:tr w:rsidR="00025029" w:rsidRPr="00025029" w:rsidTr="00025029">
        <w:trPr>
          <w:trHeight w:val="1320"/>
        </w:trPr>
        <w:tc>
          <w:tcPr>
            <w:tcW w:w="9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29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межбюджетных трансфертов на исполнение передаваемых полномочий определяется для поселений, осуществляющих передачу полномочий,  с учетом условного норматива расходов на финансирование каждого полномочия  в расчете на численность населения соответствующего поселения, скорректированный на коэффициент, характеризующий динамику макроэкономических показателей.</w:t>
            </w:r>
          </w:p>
        </w:tc>
      </w:tr>
      <w:tr w:rsidR="00025029" w:rsidRPr="00025029" w:rsidTr="00025029">
        <w:trPr>
          <w:trHeight w:val="1350"/>
        </w:trPr>
        <w:tc>
          <w:tcPr>
            <w:tcW w:w="9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29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Условный норматив расходов на финансирование передаваемых полномочий определяется как отношение объема расходов на исполнение соответствующего полномочия в отчетном году (потребности на его исполнения)  к суммарной численности населения тех поселений, которые осуществляли (будут осуществлять) передачу данного полномочия на уровень муниципального района.</w:t>
            </w:r>
          </w:p>
        </w:tc>
      </w:tr>
      <w:tr w:rsidR="00025029" w:rsidRPr="00025029" w:rsidTr="00025029">
        <w:trPr>
          <w:trHeight w:val="1350"/>
        </w:trPr>
        <w:tc>
          <w:tcPr>
            <w:tcW w:w="9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 w:rsidRPr="0002502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 xml:space="preserve">Размер межбюджетных трансфертов на исполнение передаваемых полномочий определяется для поселений, осуществляющих передачу полномочий,  с учетом условного норматива расходов на финансирование каждого полномочия  в расчете на численность населения соответствующего поселения, </w:t>
            </w:r>
            <w:r w:rsidRPr="00025029">
              <w:rPr>
                <w:rFonts w:ascii="Times New Roman" w:eastAsia="Times New Roman" w:hAnsi="Times New Roman" w:cs="Times New Roman"/>
                <w:strike/>
                <w:color w:val="003366"/>
                <w:sz w:val="20"/>
                <w:szCs w:val="20"/>
              </w:rPr>
              <w:t>скорректированный на коэффициент, характеризующий динамику макроэкономических показателей.</w:t>
            </w:r>
          </w:p>
        </w:tc>
      </w:tr>
      <w:tr w:rsidR="00025029" w:rsidRPr="00025029" w:rsidTr="00025029">
        <w:trPr>
          <w:trHeight w:val="1155"/>
        </w:trPr>
        <w:tc>
          <w:tcPr>
            <w:tcW w:w="9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29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Условный норматив расходов на финансирование передаваемых полномочий определяется как отношение объема расходов на исполнение соответствующего полномочия в отчетном году (потребности на его исполнения)  к суммарной численности населения тех поселений, которые осуществляли (будут осуществлять) передачу данного полномочия на уровень муниципального района.</w:t>
            </w:r>
          </w:p>
        </w:tc>
      </w:tr>
      <w:tr w:rsidR="00025029" w:rsidRPr="00025029" w:rsidTr="00025029">
        <w:trPr>
          <w:trHeight w:val="615"/>
        </w:trPr>
        <w:tc>
          <w:tcPr>
            <w:tcW w:w="9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 w:rsidRPr="0002502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При необходимости, в расчете может применяться коэффициент, характеризующий динамику макроэкономических показателей.</w:t>
            </w:r>
          </w:p>
        </w:tc>
      </w:tr>
      <w:tr w:rsidR="00025029" w:rsidRPr="00025029" w:rsidTr="00025029">
        <w:trPr>
          <w:trHeight w:val="255"/>
        </w:trPr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5029" w:rsidRPr="00025029" w:rsidTr="00025029">
        <w:trPr>
          <w:trHeight w:val="570"/>
        </w:trPr>
        <w:tc>
          <w:tcPr>
            <w:tcW w:w="9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5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 Создание условий для организации досуга и обеспечения жителей поселения услугами организаций культуры</w:t>
            </w:r>
          </w:p>
        </w:tc>
      </w:tr>
      <w:tr w:rsidR="00025029" w:rsidRPr="00025029" w:rsidTr="00025029">
        <w:trPr>
          <w:trHeight w:val="255"/>
        </w:trPr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5029" w:rsidRPr="00025029" w:rsidTr="00025029">
        <w:trPr>
          <w:trHeight w:val="300"/>
        </w:trPr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Ркi=Нк</w:t>
            </w:r>
            <w:proofErr w:type="spellEnd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proofErr w:type="spellStart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Чi</w:t>
            </w:r>
            <w:proofErr w:type="spellEnd"/>
            <w:proofErr w:type="gramStart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*К</w:t>
            </w:r>
            <w:proofErr w:type="gramEnd"/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5029" w:rsidRPr="00025029" w:rsidTr="00025029">
        <w:trPr>
          <w:trHeight w:val="615"/>
        </w:trPr>
        <w:tc>
          <w:tcPr>
            <w:tcW w:w="9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Рк</w:t>
            </w:r>
            <w:proofErr w:type="gramStart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  <w:proofErr w:type="spellEnd"/>
            <w:proofErr w:type="gramEnd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025029">
              <w:rPr>
                <w:rFonts w:ascii="Times New Roman" w:eastAsia="Times New Roman" w:hAnsi="Times New Roman" w:cs="Times New Roman"/>
              </w:rPr>
              <w:t>-  расходы бюджета  i-го поселения на организацию досуга и обеспечения жителей поселения услугами организаций культуры</w:t>
            </w:r>
          </w:p>
        </w:tc>
      </w:tr>
      <w:tr w:rsidR="00025029" w:rsidRPr="00025029" w:rsidTr="00025029">
        <w:trPr>
          <w:trHeight w:val="645"/>
        </w:trPr>
        <w:tc>
          <w:tcPr>
            <w:tcW w:w="9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Нк</w:t>
            </w:r>
            <w:proofErr w:type="spellEnd"/>
            <w:r w:rsidRPr="00025029">
              <w:rPr>
                <w:rFonts w:ascii="Times New Roman" w:eastAsia="Times New Roman" w:hAnsi="Times New Roman" w:cs="Times New Roman"/>
              </w:rPr>
              <w:t xml:space="preserve"> - условный норматив расходов на организацию досуга и обеспечения жителей поселения услугами организаций культуры</w:t>
            </w:r>
          </w:p>
        </w:tc>
      </w:tr>
      <w:tr w:rsidR="00025029" w:rsidRPr="00025029" w:rsidTr="00025029">
        <w:trPr>
          <w:trHeight w:val="330"/>
        </w:trPr>
        <w:tc>
          <w:tcPr>
            <w:tcW w:w="9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Ч</w:t>
            </w:r>
            <w:proofErr w:type="gramStart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  <w:proofErr w:type="spellEnd"/>
            <w:proofErr w:type="gramEnd"/>
            <w:r w:rsidRPr="00025029">
              <w:rPr>
                <w:rFonts w:ascii="Times New Roman" w:eastAsia="Times New Roman" w:hAnsi="Times New Roman" w:cs="Times New Roman"/>
              </w:rPr>
              <w:t xml:space="preserve"> - численность постоянного населения i-го поселения по состоянию на 1 января текущего года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5029" w:rsidRPr="00025029" w:rsidTr="00025029">
        <w:trPr>
          <w:trHeight w:val="645"/>
        </w:trPr>
        <w:tc>
          <w:tcPr>
            <w:tcW w:w="9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К</w:t>
            </w:r>
            <w:proofErr w:type="gramEnd"/>
            <w:r w:rsidRPr="0002502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025029">
              <w:rPr>
                <w:rFonts w:ascii="Times New Roman" w:eastAsia="Times New Roman" w:hAnsi="Times New Roman" w:cs="Times New Roman"/>
                <w:i/>
                <w:iCs/>
              </w:rPr>
              <w:t xml:space="preserve">- </w:t>
            </w:r>
            <w:proofErr w:type="gramStart"/>
            <w:r w:rsidRPr="00025029">
              <w:rPr>
                <w:rFonts w:ascii="Times New Roman" w:eastAsia="Times New Roman" w:hAnsi="Times New Roman" w:cs="Times New Roman"/>
              </w:rPr>
              <w:t>коэффициент</w:t>
            </w:r>
            <w:proofErr w:type="gramEnd"/>
            <w:r w:rsidRPr="00025029">
              <w:rPr>
                <w:rFonts w:ascii="Times New Roman" w:eastAsia="Times New Roman" w:hAnsi="Times New Roman" w:cs="Times New Roman"/>
              </w:rPr>
              <w:t>, характеризующий динамику макроэкономических показателей (может быть взят индекс роста потребительских цен)</w:t>
            </w:r>
          </w:p>
        </w:tc>
      </w:tr>
      <w:tr w:rsidR="00025029" w:rsidRPr="00025029" w:rsidTr="00025029">
        <w:trPr>
          <w:trHeight w:val="300"/>
        </w:trPr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Нк</w:t>
            </w:r>
            <w:proofErr w:type="spellEnd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 xml:space="preserve"> = </w:t>
            </w:r>
            <w:proofErr w:type="spellStart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Ок</w:t>
            </w:r>
            <w:proofErr w:type="spellEnd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/Ч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5029" w:rsidRPr="00025029" w:rsidTr="00025029">
        <w:trPr>
          <w:trHeight w:val="585"/>
        </w:trPr>
        <w:tc>
          <w:tcPr>
            <w:tcW w:w="9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Ок</w:t>
            </w:r>
            <w:proofErr w:type="spellEnd"/>
            <w:r w:rsidRPr="00025029">
              <w:rPr>
                <w:rFonts w:ascii="Times New Roman" w:eastAsia="Times New Roman" w:hAnsi="Times New Roman" w:cs="Times New Roman"/>
              </w:rPr>
              <w:t xml:space="preserve"> - общий объем расходов поселений района на организацию досуга и обеспечения жителей поселения услугами организаций культуры </w:t>
            </w:r>
          </w:p>
        </w:tc>
      </w:tr>
      <w:tr w:rsidR="00025029" w:rsidRPr="00025029" w:rsidTr="00025029">
        <w:trPr>
          <w:trHeight w:val="555"/>
        </w:trPr>
        <w:tc>
          <w:tcPr>
            <w:tcW w:w="9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 xml:space="preserve">Ч </w:t>
            </w:r>
            <w:r w:rsidRPr="00025029">
              <w:rPr>
                <w:rFonts w:ascii="Times New Roman" w:eastAsia="Times New Roman" w:hAnsi="Times New Roman" w:cs="Times New Roman"/>
              </w:rPr>
              <w:t>- численность  населения  тех поселений, которые осуществляли  передачу данного полномочия по состоянию на 1 января текущего года</w:t>
            </w:r>
          </w:p>
        </w:tc>
      </w:tr>
      <w:tr w:rsidR="00025029" w:rsidRPr="00025029" w:rsidTr="00025029">
        <w:trPr>
          <w:trHeight w:val="300"/>
        </w:trPr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</w:rPr>
              <w:t>Ок</w:t>
            </w:r>
            <w:proofErr w:type="spellEnd"/>
            <w:r w:rsidRPr="00025029">
              <w:rPr>
                <w:rFonts w:ascii="Times New Roman" w:eastAsia="Times New Roman" w:hAnsi="Times New Roman" w:cs="Times New Roman"/>
              </w:rPr>
              <w:t>, тыс.р.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Ч, чел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5029" w:rsidRPr="00025029" w:rsidTr="00025029">
        <w:trPr>
          <w:trHeight w:val="300"/>
        </w:trPr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</w:rPr>
              <w:t>Нк</w:t>
            </w:r>
            <w:proofErr w:type="spellEnd"/>
            <w:r w:rsidRPr="00025029">
              <w:rPr>
                <w:rFonts w:ascii="Times New Roman" w:eastAsia="Times New Roman" w:hAnsi="Times New Roman" w:cs="Times New Roman"/>
              </w:rPr>
              <w:t xml:space="preserve"> =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20953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10 095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2,076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 w:rsidRPr="00025029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025029"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</w:p>
        </w:tc>
        <w:tc>
          <w:tcPr>
            <w:tcW w:w="1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на 2024 год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5029" w:rsidRPr="00025029" w:rsidTr="00025029">
        <w:trPr>
          <w:trHeight w:val="165"/>
        </w:trPr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5029" w:rsidRPr="00025029" w:rsidTr="00025029">
        <w:trPr>
          <w:trHeight w:val="300"/>
        </w:trPr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</w:rPr>
              <w:t>Ок</w:t>
            </w:r>
            <w:proofErr w:type="spellEnd"/>
            <w:r w:rsidRPr="00025029">
              <w:rPr>
                <w:rFonts w:ascii="Times New Roman" w:eastAsia="Times New Roman" w:hAnsi="Times New Roman" w:cs="Times New Roman"/>
              </w:rPr>
              <w:t>, тыс.р.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Ч, чел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5029" w:rsidRPr="00025029" w:rsidTr="00025029">
        <w:trPr>
          <w:trHeight w:val="300"/>
        </w:trPr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</w:rPr>
              <w:t>Нк</w:t>
            </w:r>
            <w:proofErr w:type="spellEnd"/>
            <w:r w:rsidRPr="00025029">
              <w:rPr>
                <w:rFonts w:ascii="Times New Roman" w:eastAsia="Times New Roman" w:hAnsi="Times New Roman" w:cs="Times New Roman"/>
              </w:rPr>
              <w:t xml:space="preserve"> =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21938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10 095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2,173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 w:rsidRPr="00025029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025029"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</w:p>
        </w:tc>
        <w:tc>
          <w:tcPr>
            <w:tcW w:w="1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на 2025 год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5029" w:rsidRPr="00025029" w:rsidTr="00025029">
        <w:trPr>
          <w:trHeight w:val="165"/>
        </w:trPr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5029" w:rsidRPr="00025029" w:rsidTr="00025029">
        <w:trPr>
          <w:trHeight w:val="300"/>
        </w:trPr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</w:rPr>
              <w:t>Ок</w:t>
            </w:r>
            <w:proofErr w:type="spellEnd"/>
            <w:r w:rsidRPr="00025029">
              <w:rPr>
                <w:rFonts w:ascii="Times New Roman" w:eastAsia="Times New Roman" w:hAnsi="Times New Roman" w:cs="Times New Roman"/>
              </w:rPr>
              <w:t>, тыс.р.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Ч, чел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5029" w:rsidRPr="00025029" w:rsidTr="00025029">
        <w:trPr>
          <w:trHeight w:val="300"/>
        </w:trPr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</w:rPr>
              <w:t>Нк</w:t>
            </w:r>
            <w:proofErr w:type="spellEnd"/>
            <w:r w:rsidRPr="00025029">
              <w:rPr>
                <w:rFonts w:ascii="Times New Roman" w:eastAsia="Times New Roman" w:hAnsi="Times New Roman" w:cs="Times New Roman"/>
              </w:rPr>
              <w:t xml:space="preserve"> =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22971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10 095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2,275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 w:rsidRPr="00025029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025029"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</w:p>
        </w:tc>
        <w:tc>
          <w:tcPr>
            <w:tcW w:w="1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на 2026 год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5029" w:rsidRPr="00025029" w:rsidTr="00025029">
        <w:trPr>
          <w:trHeight w:val="210"/>
        </w:trPr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5029" w:rsidRPr="00025029" w:rsidTr="00025029">
        <w:trPr>
          <w:trHeight w:val="285"/>
        </w:trPr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29" w:rsidRPr="00025029" w:rsidRDefault="00025029" w:rsidP="000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Поселение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29" w:rsidRPr="00025029" w:rsidRDefault="00025029" w:rsidP="000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2024 год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29" w:rsidRPr="00025029" w:rsidRDefault="00025029" w:rsidP="000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2025 год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29" w:rsidRPr="00025029" w:rsidRDefault="00025029" w:rsidP="000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2026 год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29" w:rsidRPr="00025029" w:rsidRDefault="00025029" w:rsidP="000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</w:rPr>
              <w:t>Ч</w:t>
            </w:r>
            <w:proofErr w:type="gramStart"/>
            <w:r w:rsidRPr="00025029"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proofErr w:type="gramEnd"/>
            <w:r w:rsidRPr="00025029">
              <w:rPr>
                <w:rFonts w:ascii="Times New Roman" w:eastAsia="Times New Roman" w:hAnsi="Times New Roman" w:cs="Times New Roman"/>
              </w:rPr>
              <w:t>, чел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29" w:rsidRPr="00025029" w:rsidRDefault="00025029" w:rsidP="000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К</w:t>
            </w:r>
          </w:p>
        </w:tc>
      </w:tr>
      <w:tr w:rsidR="00025029" w:rsidRPr="00025029" w:rsidTr="00025029">
        <w:trPr>
          <w:trHeight w:val="570"/>
        </w:trPr>
        <w:tc>
          <w:tcPr>
            <w:tcW w:w="3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29" w:rsidRPr="00025029" w:rsidRDefault="00025029" w:rsidP="000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Рк</w:t>
            </w:r>
            <w:proofErr w:type="gramStart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  <w:proofErr w:type="spellEnd"/>
            <w:proofErr w:type="gramEnd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 xml:space="preserve">, тыс.р.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29" w:rsidRPr="00025029" w:rsidRDefault="00025029" w:rsidP="000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</w:rPr>
              <w:t>Нк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029" w:rsidRPr="00025029" w:rsidRDefault="00025029" w:rsidP="000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Рк</w:t>
            </w:r>
            <w:proofErr w:type="gramStart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  <w:proofErr w:type="spellEnd"/>
            <w:proofErr w:type="gramEnd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 xml:space="preserve">, тыс.р.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29" w:rsidRPr="00025029" w:rsidRDefault="00025029" w:rsidP="000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</w:rPr>
              <w:t>Нк</w:t>
            </w:r>
            <w:proofErr w:type="spell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29" w:rsidRPr="00025029" w:rsidRDefault="00025029" w:rsidP="000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Рк</w:t>
            </w:r>
            <w:proofErr w:type="gramStart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  <w:proofErr w:type="spellEnd"/>
            <w:proofErr w:type="gramEnd"/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 xml:space="preserve">, тыс.р.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29" w:rsidRPr="00025029" w:rsidRDefault="00025029" w:rsidP="000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5029">
              <w:rPr>
                <w:rFonts w:ascii="Times New Roman" w:eastAsia="Times New Roman" w:hAnsi="Times New Roman" w:cs="Times New Roman"/>
              </w:rPr>
              <w:t>Нк</w:t>
            </w:r>
            <w:proofErr w:type="spellEnd"/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5029" w:rsidRPr="00025029" w:rsidTr="00025029">
        <w:trPr>
          <w:trHeight w:val="255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5029" w:rsidRPr="00025029" w:rsidTr="00025029">
        <w:trPr>
          <w:trHeight w:val="300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Сельское поселение деревня Гавриловка 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544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2,076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569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2,173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5029">
              <w:rPr>
                <w:rFonts w:ascii="Times New Roman" w:eastAsia="Times New Roman" w:hAnsi="Times New Roman" w:cs="Times New Roman"/>
                <w:b/>
                <w:bCs/>
              </w:rPr>
              <w:t>596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2,275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5029">
              <w:rPr>
                <w:rFonts w:ascii="Times New Roman" w:eastAsia="Times New Roman" w:hAnsi="Times New Roman" w:cs="Times New Roman"/>
              </w:rPr>
              <w:t>262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29" w:rsidRPr="00025029" w:rsidRDefault="00025029" w:rsidP="00025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29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</w:tbl>
    <w:p w:rsidR="00785678" w:rsidRDefault="00785678"/>
    <w:sectPr w:rsidR="00785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5029"/>
    <w:rsid w:val="00025029"/>
    <w:rsid w:val="00785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2644</Characters>
  <Application>Microsoft Office Word</Application>
  <DocSecurity>0</DocSecurity>
  <Lines>22</Lines>
  <Paragraphs>6</Paragraphs>
  <ScaleCrop>false</ScaleCrop>
  <Company/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2023-11-21T09:29:00Z</dcterms:created>
  <dcterms:modified xsi:type="dcterms:W3CDTF">2023-11-21T09:29:00Z</dcterms:modified>
</cp:coreProperties>
</file>